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CD756E">
        <w:t>Timing Advance</w:t>
      </w:r>
      <w:r w:rsidR="008A6662">
        <w:t xml:space="preserve"> handling</w:t>
      </w:r>
    </w:p>
    <w:p w:rsidR="003B5A41" w:rsidRDefault="008317F7" w:rsidP="003B5A41">
      <w:pPr>
        <w:pStyle w:val="Heading1"/>
        <w:rPr>
          <w:lang w:val="sv-SE"/>
        </w:rPr>
      </w:pPr>
      <w:r>
        <w:rPr>
          <w:lang w:val="sv-SE"/>
        </w:rPr>
        <w:t>Introduction</w:t>
      </w:r>
    </w:p>
    <w:p w:rsidR="008317F7" w:rsidRDefault="008317F7" w:rsidP="008317F7">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t xml:space="preserve">  was approved, see </w:t>
      </w:r>
      <w:r>
        <w:fldChar w:fldCharType="begin"/>
      </w:r>
      <w:r>
        <w:instrText xml:space="preserve"> REF _Ref397674406 \r \h </w:instrText>
      </w:r>
      <w:r>
        <w:fldChar w:fldCharType="separate"/>
      </w:r>
      <w:r>
        <w:t>[1]</w:t>
      </w:r>
      <w:r>
        <w:fldChar w:fldCharType="end"/>
      </w:r>
      <w:r>
        <w:t>.</w:t>
      </w:r>
    </w:p>
    <w:p w:rsidR="008317F7" w:rsidRDefault="00116F55" w:rsidP="00116F55">
      <w:pPr>
        <w:pStyle w:val="BodyText"/>
      </w:pPr>
      <w:r>
        <w:t xml:space="preserve">It is expected that the devices </w:t>
      </w:r>
      <w:r w:rsidR="00783AE3">
        <w:t xml:space="preserve">in this system </w:t>
      </w:r>
      <w:r>
        <w:t>will primarily use small data transmissions, and that most of the devices will be stationary.</w:t>
      </w:r>
      <w:bookmarkStart w:id="0" w:name="_GoBack"/>
      <w:bookmarkEnd w:id="0"/>
    </w:p>
    <w:p w:rsidR="00A82BB0" w:rsidRDefault="00A82BB0" w:rsidP="008317F7">
      <w:pPr>
        <w:pStyle w:val="BodyText"/>
      </w:pPr>
      <w:r>
        <w:t xml:space="preserve">In this contribution, the </w:t>
      </w:r>
      <w:r w:rsidR="00116F55">
        <w:t>need for continuous timing advance is considered, and it is concluded that the use of PTCCH for continuous timing advance is not required for EC-GSM</w:t>
      </w:r>
      <w:r w:rsidR="0075739A">
        <w:t>.</w:t>
      </w:r>
    </w:p>
    <w:p w:rsidR="00116F55" w:rsidRDefault="009C06D9" w:rsidP="009C06D9">
      <w:pPr>
        <w:pStyle w:val="Heading1"/>
      </w:pPr>
      <w:r>
        <w:t>Timing advance</w:t>
      </w:r>
    </w:p>
    <w:p w:rsidR="00CB69E0" w:rsidRDefault="009C06D9" w:rsidP="009C06D9">
      <w:r w:rsidRPr="00050175">
        <w:t>In current GSM systems</w:t>
      </w:r>
      <w:r>
        <w:t xml:space="preserve"> Timing Advance (TA) is used to ensure the reception of UL bursts aligned with the overall frame structure avoiding inter-slot-interference and limiting the synchronization window in the base station receiver. </w:t>
      </w:r>
    </w:p>
    <w:p w:rsidR="009C06D9" w:rsidRDefault="009C06D9" w:rsidP="009C06D9">
      <w:r>
        <w:t xml:space="preserve">The TA is initially estimated at the reception of the access burst on the RACH, and commanded to the MS by the Immediate Assignment. </w:t>
      </w:r>
    </w:p>
    <w:p w:rsidR="009C06D9" w:rsidRDefault="009C06D9" w:rsidP="009C06D9">
      <w:r>
        <w:t>During the lifetime of the TBF the TA can be updated either by PACCH or by continuous TA operation by the use of PTCCH/D and PTCCH/U. PTCCH make use of a repetition length of 416 TDMA frames, which implies an update frequency of once every two seconds (1.92 sec). If using PACCH based TA the update frequency will be up to network implementation.</w:t>
      </w:r>
    </w:p>
    <w:p w:rsidR="00CB69E0" w:rsidRDefault="00CB69E0" w:rsidP="00CB69E0">
      <w:pPr>
        <w:pStyle w:val="Heading1"/>
      </w:pPr>
      <w:r>
        <w:t>Need for Timing Advance in EC-GSM</w:t>
      </w:r>
    </w:p>
    <w:p w:rsidR="00D75024" w:rsidRDefault="009C06D9" w:rsidP="007C3A1E">
      <w:pPr>
        <w:pStyle w:val="BodyText"/>
      </w:pPr>
      <w:r>
        <w:t xml:space="preserve">A timing advance value, within an accuracy of one symbol duration, is valid </w:t>
      </w:r>
      <w:r w:rsidR="00E53726">
        <w:t xml:space="preserve">during </w:t>
      </w:r>
      <w:r>
        <w:t>a movement of around 500 m</w:t>
      </w:r>
      <w:r w:rsidR="007C3A1E">
        <w:t xml:space="preserve"> in the 900 MHz band</w:t>
      </w:r>
      <w:r>
        <w:t xml:space="preserve">. </w:t>
      </w:r>
      <w:r w:rsidR="00D75024">
        <w:t>The guard period used today for the Access Burst sent on the RACH is 68.25 symbols, and hence up to a cell radius of 35 km can be supported in GSM.</w:t>
      </w:r>
    </w:p>
    <w:p w:rsidR="00722645" w:rsidRDefault="00016FFB" w:rsidP="007C3A1E">
      <w:pPr>
        <w:pStyle w:val="BodyText"/>
      </w:pPr>
      <w:r>
        <w:t xml:space="preserve">In EC-GSM </w:t>
      </w:r>
      <w:r w:rsidR="00722645">
        <w:t xml:space="preserve">the majority of the devices </w:t>
      </w:r>
      <w:proofErr w:type="gramStart"/>
      <w:r w:rsidR="00E53726">
        <w:t>is</w:t>
      </w:r>
      <w:proofErr w:type="gramEnd"/>
      <w:r w:rsidR="00E53726">
        <w:t xml:space="preserve"> expected to </w:t>
      </w:r>
      <w:r w:rsidR="00722645">
        <w:t>be stationary and hence not require additional timing advance adjustment during the lifetime of the TBF.</w:t>
      </w:r>
    </w:p>
    <w:p w:rsidR="00722645" w:rsidRDefault="00847770" w:rsidP="007C3A1E">
      <w:pPr>
        <w:pStyle w:val="BodyText"/>
      </w:pPr>
      <w:r>
        <w:t>For devices that are mobile, the majority of the devices are expected to operate at around 30 km/h, which is far from the speed defined for GSM today, which is up to 350 km/h.</w:t>
      </w:r>
      <w:r w:rsidR="00722645">
        <w:t xml:space="preserve"> </w:t>
      </w:r>
    </w:p>
    <w:p w:rsidR="00CE0998" w:rsidRDefault="00CE0998" w:rsidP="007C3A1E">
      <w:pPr>
        <w:pStyle w:val="BodyText"/>
      </w:pPr>
      <w:r>
        <w:t xml:space="preserve">Furthermore, reporting from/to these devices </w:t>
      </w:r>
      <w:r w:rsidR="009C06D9">
        <w:t xml:space="preserve">(mobile autonomous report or network triggered report) is </w:t>
      </w:r>
      <w:r>
        <w:t>expected</w:t>
      </w:r>
      <w:r w:rsidR="009C06D9">
        <w:t xml:space="preserve"> to </w:t>
      </w:r>
      <w:r>
        <w:t>be small, and in the order of 20-200 bytes (application payload).</w:t>
      </w:r>
    </w:p>
    <w:p w:rsidR="009C06D9" w:rsidRDefault="007C3A1E" w:rsidP="007C3A1E">
      <w:pPr>
        <w:pStyle w:val="BodyText"/>
      </w:pPr>
      <w:r>
        <w:t xml:space="preserve">An initial TA will always be provided from the access attempt on the RACH. Assuming further that an accuracy of one symbol duration, is valid a movement of around 500 m, and </w:t>
      </w:r>
      <w:r>
        <w:lastRenderedPageBreak/>
        <w:t>that a report is typically sent during a 10 second interval, a</w:t>
      </w:r>
      <w:r w:rsidR="009C06D9">
        <w:t xml:space="preserve"> device speed </w:t>
      </w:r>
      <w:r>
        <w:t>of 180 km/h (180/3.6*10), in direction away from the base station receiver, could still be supported</w:t>
      </w:r>
      <w:r w:rsidR="009C06D9">
        <w:t>.</w:t>
      </w:r>
    </w:p>
    <w:p w:rsidR="009C06D9" w:rsidRDefault="009C06D9" w:rsidP="007C3A1E">
      <w:pPr>
        <w:pStyle w:val="BodyText"/>
      </w:pPr>
      <w:r>
        <w:t>If a second report is to be transmitted by the device, then a second access burst will be transmitted on the RACH, and consequently the TA will be updated.</w:t>
      </w:r>
    </w:p>
    <w:p w:rsidR="007C3A1E" w:rsidRDefault="009C06D9" w:rsidP="007C3A1E">
      <w:pPr>
        <w:pStyle w:val="BodyText"/>
      </w:pPr>
      <w:r>
        <w:t xml:space="preserve">Hence, the use of TA via PTCCH to continuously tracking the timing advance during the lifetime of the TBF </w:t>
      </w:r>
      <w:r w:rsidR="007C3A1E">
        <w:t>need</w:t>
      </w:r>
      <w:r>
        <w:t xml:space="preserve"> not be supported by CIoT devices. </w:t>
      </w:r>
    </w:p>
    <w:p w:rsidR="00116F55" w:rsidRDefault="009C06D9" w:rsidP="007C3A1E">
      <w:pPr>
        <w:pStyle w:val="BodyText"/>
      </w:pPr>
      <w:r>
        <w:t xml:space="preserve">Tracking the TA by PACCH </w:t>
      </w:r>
      <w:r w:rsidR="007C3A1E">
        <w:t>could still be kept as an option, and, if needed, would apply to a minority of devices within the EC-GSM system</w:t>
      </w:r>
      <w:r>
        <w:t>.</w:t>
      </w:r>
    </w:p>
    <w:p w:rsidR="009C06D9" w:rsidRDefault="007C3A1E" w:rsidP="007C3A1E">
      <w:pPr>
        <w:pStyle w:val="Heading1"/>
      </w:pPr>
      <w:r>
        <w:t>Conclusions</w:t>
      </w:r>
    </w:p>
    <w:p w:rsidR="007C3A1E" w:rsidRDefault="00A306EB" w:rsidP="007C3A1E">
      <w:r>
        <w:t>It is concluded that the logical channel for continuous timing advance tracking, PTCCH, need not be supported by EC-GSM.</w:t>
      </w:r>
    </w:p>
    <w:p w:rsidR="00870030" w:rsidRPr="007C3A1E" w:rsidRDefault="00870030" w:rsidP="007C3A1E">
      <w:r>
        <w:t>Optional support of tracking TA by the use of PACCH could still be catered for.</w:t>
      </w:r>
    </w:p>
    <w:p w:rsidR="008317F7" w:rsidRDefault="008317F7" w:rsidP="008317F7">
      <w:pPr>
        <w:pStyle w:val="Heading1"/>
      </w:pPr>
      <w:r>
        <w:t>References</w:t>
      </w:r>
    </w:p>
    <w:bookmarkStart w:id="1" w:name="_Ref397674406"/>
    <w:p w:rsidR="006B0C1C" w:rsidRPr="008317F7" w:rsidRDefault="008317F7" w:rsidP="007E0D2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1"/>
      <w:r>
        <w:t>.</w:t>
      </w:r>
    </w:p>
    <w:sectPr w:rsidR="006B0C1C" w:rsidRPr="008317F7"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C6C" w:rsidRDefault="00FB5C6C">
      <w:r>
        <w:separator/>
      </w:r>
    </w:p>
  </w:endnote>
  <w:endnote w:type="continuationSeparator" w:id="0">
    <w:p w:rsidR="00FB5C6C" w:rsidRDefault="00FB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35B7F">
      <w:rPr>
        <w:rStyle w:val="PageNumber"/>
        <w:noProof/>
      </w:rPr>
      <w:t>2</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5B7F">
      <w:rPr>
        <w:rStyle w:val="PageNumber"/>
        <w:noProof/>
      </w:rPr>
      <w:t>2</w:t>
    </w:r>
    <w:r>
      <w:rPr>
        <w:rStyle w:val="PageNumber"/>
      </w:rPr>
      <w:fldChar w:fldCharType="end"/>
    </w:r>
    <w:r>
      <w:rPr>
        <w:rStyle w:val="PageNumber"/>
      </w:rPr>
      <w:t>)</w:t>
    </w:r>
    <w:bookmarkEnd w:id="2"/>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A35B7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5B7F">
      <w:rPr>
        <w:rStyle w:val="PageNumber"/>
        <w:noProof/>
      </w:rPr>
      <w:t>2</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C6C" w:rsidRDefault="00FB5C6C">
      <w:r>
        <w:separator/>
      </w:r>
    </w:p>
  </w:footnote>
  <w:footnote w:type="continuationSeparator" w:id="0">
    <w:p w:rsidR="00FB5C6C" w:rsidRDefault="00FB5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D8307C" w:rsidRDefault="00D505CA" w:rsidP="00EA60C1">
    <w:pPr>
      <w:pStyle w:val="Header"/>
    </w:pPr>
    <w:r w:rsidRPr="00D8307C">
      <w:t>3GPP TSG GERAN</w:t>
    </w:r>
    <w:r w:rsidR="00D8307C" w:rsidRPr="00D8307C">
      <w:t xml:space="preserve"> Ad Hoc#1 on </w:t>
    </w:r>
    <w:proofErr w:type="spellStart"/>
    <w:r w:rsidR="00D8307C" w:rsidRPr="00D8307C">
      <w:t>FS_IoT_LC</w:t>
    </w:r>
    <w:proofErr w:type="spellEnd"/>
    <w:r w:rsidRPr="00D8307C">
      <w:tab/>
    </w:r>
    <w:r w:rsidRPr="00D8307C">
      <w:tab/>
    </w:r>
    <w:proofErr w:type="spellStart"/>
    <w:r w:rsidRPr="00D8307C">
      <w:t>Tdoc</w:t>
    </w:r>
    <w:proofErr w:type="spellEnd"/>
    <w:r w:rsidRPr="00D8307C">
      <w:t xml:space="preserve"> GP</w:t>
    </w:r>
    <w:r w:rsidR="00D8307C">
      <w:t>C150</w:t>
    </w:r>
    <w:r w:rsidR="00A35B7F">
      <w:t>057</w:t>
    </w:r>
  </w:p>
  <w:p w:rsidR="001200D6" w:rsidRPr="00D8307C" w:rsidRDefault="00120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8317F7" w:rsidRDefault="00D505CA" w:rsidP="0015360B">
    <w:pPr>
      <w:pStyle w:val="Header"/>
      <w:spacing w:after="0"/>
    </w:pPr>
    <w:r w:rsidRPr="008317F7">
      <w:t>3GPP TSG GERAN</w:t>
    </w:r>
    <w:r w:rsidR="008317F7" w:rsidRPr="008317F7">
      <w:t xml:space="preserve"> Ad Hoc#1 on </w:t>
    </w:r>
    <w:proofErr w:type="spellStart"/>
    <w:r w:rsidR="008317F7" w:rsidRPr="008317F7">
      <w:t>FS_IoT_LC</w:t>
    </w:r>
    <w:proofErr w:type="spellEnd"/>
    <w:r w:rsidRPr="008317F7">
      <w:tab/>
    </w:r>
    <w:r w:rsidRPr="008317F7">
      <w:tab/>
    </w:r>
    <w:proofErr w:type="spellStart"/>
    <w:r w:rsidRPr="008317F7">
      <w:t>Tdoc</w:t>
    </w:r>
    <w:proofErr w:type="spellEnd"/>
    <w:r w:rsidRPr="008317F7">
      <w:t xml:space="preserve"> GP</w:t>
    </w:r>
    <w:r w:rsidR="008317F7">
      <w:t>C150</w:t>
    </w:r>
    <w:r w:rsidR="00A35B7F">
      <w:t>057</w:t>
    </w:r>
  </w:p>
  <w:p w:rsidR="00D505CA" w:rsidRPr="00F171F5" w:rsidRDefault="008317F7" w:rsidP="0015360B">
    <w:pPr>
      <w:pStyle w:val="Header"/>
      <w:spacing w:after="0"/>
      <w:rPr>
        <w:lang w:val="it-IT"/>
      </w:rPr>
    </w:pPr>
    <w:r>
      <w:rPr>
        <w:lang w:val="it-IT"/>
      </w:rPr>
      <w:t>Sofia Antipolis, France</w:t>
    </w:r>
    <w:r w:rsidR="00D505CA" w:rsidRPr="00F171F5">
      <w:rPr>
        <w:lang w:val="it-IT"/>
      </w:rPr>
      <w:tab/>
    </w:r>
    <w:r w:rsidR="00D505CA" w:rsidRPr="00F171F5">
      <w:rPr>
        <w:lang w:val="it-IT"/>
      </w:rPr>
      <w:tab/>
      <w:t xml:space="preserve">Agenda item </w:t>
    </w:r>
    <w:r w:rsidR="00A35B7F">
      <w:rPr>
        <w:lang w:val="it-IT"/>
      </w:rPr>
      <w:t>1.4.3.1</w:t>
    </w:r>
  </w:p>
  <w:p w:rsidR="001200D6" w:rsidRPr="00454B41" w:rsidRDefault="008317F7" w:rsidP="00454B41">
    <w:pPr>
      <w:pStyle w:val="Header"/>
      <w:spacing w:after="0"/>
      <w:rPr>
        <w:snapToGrid w:val="0"/>
      </w:rPr>
    </w:pPr>
    <w:r>
      <w:t>2</w:t>
    </w:r>
    <w:r w:rsidRPr="008317F7">
      <w:rPr>
        <w:vertAlign w:val="superscript"/>
      </w:rPr>
      <w:t>nd</w:t>
    </w:r>
    <w:r>
      <w:t xml:space="preserve"> </w:t>
    </w:r>
    <w:r w:rsidR="00D505CA" w:rsidRPr="00264773">
      <w:t xml:space="preserve">– </w:t>
    </w:r>
    <w:r>
      <w:t>5</w:t>
    </w:r>
    <w:r w:rsidR="00B74E2C" w:rsidRPr="00B74E2C">
      <w:rPr>
        <w:vertAlign w:val="superscript"/>
      </w:rPr>
      <w:t>th</w:t>
    </w:r>
    <w:r w:rsidR="00B74E2C">
      <w:t xml:space="preserve"> </w:t>
    </w:r>
    <w:r>
      <w:t>February</w:t>
    </w:r>
    <w:r w:rsidR="00D505CA" w:rsidRPr="00264773">
      <w:t xml:space="preserve">, </w:t>
    </w:r>
    <w:r>
      <w:t>2015</w:t>
    </w:r>
    <w:r w:rsidR="00D505CA" w:rsidRPr="00264773">
      <w:br/>
    </w:r>
    <w:bookmarkStart w:id="3" w:name="_Ref515183447"/>
    <w:bookmarkEnd w:id="3"/>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1DCC"/>
    <w:rsid w:val="00212200"/>
    <w:rsid w:val="00212B6B"/>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87492"/>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72"/>
    <w:rsid w:val="0063241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2645"/>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AE3"/>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3A1E"/>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34E2"/>
    <w:rsid w:val="0087352C"/>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662"/>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811"/>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6EB"/>
    <w:rsid w:val="00A312FD"/>
    <w:rsid w:val="00A31A4F"/>
    <w:rsid w:val="00A31DA9"/>
    <w:rsid w:val="00A33DBD"/>
    <w:rsid w:val="00A35B7F"/>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3E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489"/>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5864"/>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D756E"/>
    <w:rsid w:val="00CE0241"/>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2149"/>
    <w:rsid w:val="00D632A2"/>
    <w:rsid w:val="00D63F79"/>
    <w:rsid w:val="00D64682"/>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726"/>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300"/>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5C6C"/>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B7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35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5B7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B7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35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5B7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ABC1D-829F-4578-9665-78E3D3F23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3418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 R6</cp:lastModifiedBy>
  <cp:revision>5</cp:revision>
  <cp:lastPrinted>2013-02-08T15:42:00Z</cp:lastPrinted>
  <dcterms:created xsi:type="dcterms:W3CDTF">2015-01-26T19:57:00Z</dcterms:created>
  <dcterms:modified xsi:type="dcterms:W3CDTF">2015-01-28T02:38:00Z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